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53" w:lineRule="auto" w:line="188"/>
        <w:outlineLvl w:val="0"/>
        <w:rPr>
          <w:rFonts w:ascii="仿宋" w:cs="仿宋" w:eastAsia="仿宋" w:hAnsi="仿宋" w:hint="eastAsia"/>
          <w:spacing w:val="-9"/>
          <w:sz w:val="26"/>
          <w:szCs w:val="26"/>
          <w:lang w:val="en-US" w:eastAsia="zh-CN"/>
        </w:rPr>
      </w:pPr>
      <w:bookmarkStart w:id="0" w:name="_bookmark3"/>
      <w:bookmarkEnd w:id="0"/>
      <w:r>
        <w:rPr>
          <w:rFonts w:ascii="仿宋" w:cs="仿宋" w:eastAsia="仿宋" w:hAnsi="仿宋"/>
          <w:spacing w:val="-9"/>
          <w:sz w:val="26"/>
          <w:szCs w:val="26"/>
        </w:rPr>
        <w:t>附件</w:t>
      </w:r>
      <w:r>
        <w:rPr>
          <w:rFonts w:ascii="仿宋" w:cs="仿宋" w:eastAsia="仿宋" w:hAnsi="仿宋" w:hint="eastAsia"/>
          <w:spacing w:val="-9"/>
          <w:sz w:val="26"/>
          <w:szCs w:val="26"/>
          <w:lang w:eastAsia="zh-CN"/>
        </w:rPr>
        <w:t>六</w:t>
      </w:r>
      <w:r>
        <w:rPr>
          <w:rFonts w:ascii="仿宋" w:cs="仿宋" w:eastAsia="仿宋" w:hAnsi="仿宋"/>
          <w:spacing w:val="27"/>
          <w:sz w:val="26"/>
          <w:szCs w:val="26"/>
        </w:rPr>
        <w:t xml:space="preserve"> </w:t>
      </w:r>
      <w:r>
        <w:rPr>
          <w:rFonts w:ascii="仿宋" w:cs="仿宋" w:eastAsia="仿宋" w:hAnsi="仿宋"/>
          <w:spacing w:val="-9"/>
          <w:sz w:val="26"/>
          <w:szCs w:val="26"/>
        </w:rPr>
        <w:t>:</w:t>
      </w:r>
      <w:r>
        <w:rPr>
          <w:rFonts w:ascii="仿宋" w:cs="仿宋" w:eastAsia="仿宋" w:hAnsi="仿宋" w:hint="eastAsia"/>
          <w:spacing w:val="-9"/>
          <w:sz w:val="26"/>
          <w:szCs w:val="26"/>
          <w:lang w:val="en-US" w:eastAsia="zh-CN"/>
        </w:rPr>
        <w:t xml:space="preserve">  </w:t>
      </w:r>
    </w:p>
    <w:p>
      <w:pPr>
        <w:pStyle w:val="style0"/>
        <w:spacing w:before="53" w:lineRule="auto" w:line="188"/>
        <w:outlineLvl w:val="0"/>
        <w:rPr>
          <w:rFonts w:ascii="仿宋" w:cs="仿宋" w:eastAsia="仿宋" w:hAnsi="仿宋"/>
          <w:sz w:val="26"/>
          <w:szCs w:val="26"/>
        </w:rPr>
      </w:pPr>
      <w:r>
        <w:rPr>
          <w:rFonts w:ascii="仿宋" w:cs="仿宋" w:eastAsia="仿宋" w:hAnsi="仿宋" w:hint="eastAsia"/>
          <w:spacing w:val="-9"/>
          <w:sz w:val="26"/>
          <w:szCs w:val="26"/>
          <w:lang w:val="en-US" w:eastAsia="zh-CN"/>
        </w:rPr>
        <w:t xml:space="preserve">                 </w:t>
      </w:r>
      <w:r>
        <w:rPr>
          <w:rFonts w:ascii="仿宋" w:cs="仿宋" w:eastAsia="仿宋" w:hAnsi="仿宋"/>
          <w:spacing w:val="-9"/>
          <w:sz w:val="26"/>
          <w:szCs w:val="26"/>
        </w:rPr>
        <w:t>襄阳市</w:t>
      </w:r>
      <w:r>
        <w:rPr>
          <w:rFonts w:ascii="仿宋" w:cs="仿宋" w:eastAsia="仿宋" w:hAnsi="仿宋" w:hint="eastAsia"/>
          <w:spacing w:val="-9"/>
          <w:sz w:val="26"/>
          <w:szCs w:val="26"/>
          <w:lang w:eastAsia="zh-CN"/>
        </w:rPr>
        <w:t>建筑业企业</w:t>
      </w:r>
      <w:r>
        <w:rPr>
          <w:rFonts w:ascii="仿宋" w:cs="仿宋" w:eastAsia="仿宋" w:hAnsi="仿宋"/>
          <w:spacing w:val="-2"/>
          <w:sz w:val="26"/>
          <w:szCs w:val="26"/>
        </w:rPr>
        <w:t xml:space="preserve"> </w:t>
      </w:r>
      <w:r>
        <w:rPr>
          <w:rFonts w:ascii="仿宋" w:cs="仿宋" w:eastAsia="仿宋" w:hAnsi="仿宋"/>
          <w:spacing w:val="-9"/>
          <w:sz w:val="26"/>
          <w:szCs w:val="26"/>
        </w:rPr>
        <w:t>信用评级不良行为扣分表</w:t>
      </w:r>
    </w:p>
    <w:tbl>
      <w:tblPr>
        <w:tblStyle w:val="style4098"/>
        <w:tblpPr w:leftFromText="180" w:rightFromText="180" w:topFromText="0" w:bottomFromText="0" w:vertAnchor="text" w:horzAnchor="page" w:tblpX="1223" w:tblpY="217"/>
        <w:tblOverlap w:val="never"/>
        <w:tblW w:w="10316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"/>
        <w:gridCol w:w="7913"/>
        <w:gridCol w:w="746"/>
        <w:gridCol w:w="770"/>
      </w:tblGrid>
      <w:tr>
        <w:trPr>
          <w:trHeight w:val="469" w:hRule="atLeast"/>
        </w:trPr>
        <w:tc>
          <w:tcPr>
            <w:tcW w:w="887" w:type="dxa"/>
            <w:tcBorders/>
          </w:tcPr>
          <w:p>
            <w:pPr>
              <w:pStyle w:val="style0"/>
              <w:spacing w:before="65" w:lineRule="auto" w:line="188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pacing w:val="-8"/>
                <w:sz w:val="20"/>
                <w:szCs w:val="20"/>
              </w:rPr>
              <w:t>序号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71" w:lineRule="auto" w:line="190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pacing w:val="-3"/>
                <w:sz w:val="22"/>
                <w:szCs w:val="22"/>
              </w:rPr>
              <w:t>不良行为扣分项内容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71" w:lineRule="auto" w:line="190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pacing w:val="-9"/>
                <w:sz w:val="22"/>
                <w:szCs w:val="22"/>
              </w:rPr>
              <w:t>扣分</w:t>
            </w:r>
          </w:p>
        </w:tc>
        <w:tc>
          <w:tcPr>
            <w:tcW w:w="770" w:type="dxa"/>
            <w:tcBorders/>
          </w:tcPr>
          <w:p>
            <w:pPr>
              <w:pStyle w:val="style0"/>
              <w:spacing w:before="71" w:lineRule="auto" w:line="190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pacing w:val="-9"/>
                <w:sz w:val="22"/>
                <w:szCs w:val="22"/>
              </w:rPr>
              <w:t>扣分</w:t>
            </w:r>
          </w:p>
        </w:tc>
      </w:tr>
      <w:tr>
        <w:tblPrEx/>
        <w:trPr>
          <w:trHeight w:val="628" w:hRule="atLeast"/>
        </w:trPr>
        <w:tc>
          <w:tcPr>
            <w:tcW w:w="887" w:type="dxa"/>
            <w:tcBorders/>
          </w:tcPr>
          <w:p>
            <w:pPr>
              <w:pStyle w:val="style0"/>
              <w:spacing w:before="335" w:lineRule="auto" w:line="180"/>
              <w:ind w:firstLine="411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z w:val="20"/>
                <w:szCs w:val="20"/>
              </w:rPr>
              <w:t>1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301" w:lineRule="auto" w:line="188"/>
              <w:ind w:firstLine="117"/>
              <w:rPr>
                <w:rFonts w:ascii="仿宋" w:cs="仿宋" w:eastAsia="仿宋" w:hAnsi="仿宋" w:hint="eastAsia"/>
                <w:sz w:val="20"/>
                <w:szCs w:val="20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3"/>
                <w:sz w:val="20"/>
                <w:szCs w:val="20"/>
                <w:lang w:eastAsia="zh-CN"/>
              </w:rPr>
              <w:t>企业在申报信息过程中，提供虚假信息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5" w:lineRule="auto" w:line="180"/>
              <w:ind w:firstLine="388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pacing w:val="-10"/>
                <w:w w:val="99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589" w:hRule="atLeast"/>
        </w:trPr>
        <w:tc>
          <w:tcPr>
            <w:tcW w:w="887" w:type="dxa"/>
            <w:tcBorders/>
          </w:tcPr>
          <w:p>
            <w:pPr>
              <w:pStyle w:val="style0"/>
              <w:spacing w:before="337" w:lineRule="auto" w:line="180"/>
              <w:ind w:firstLine="399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z w:val="20"/>
                <w:szCs w:val="20"/>
              </w:rPr>
              <w:t>2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302" w:lineRule="auto" w:line="188"/>
              <w:ind w:firstLine="122"/>
              <w:rPr>
                <w:rFonts w:ascii="仿宋" w:cs="仿宋" w:eastAsia="仿宋" w:hAnsi="仿宋" w:hint="eastAsia"/>
                <w:sz w:val="20"/>
                <w:szCs w:val="20"/>
                <w:lang w:eastAsia="zh-CN"/>
              </w:rPr>
            </w:pPr>
            <w:r>
              <w:rPr>
                <w:rFonts w:ascii="仿宋" w:cs="仿宋" w:eastAsia="仿宋" w:hAnsi="仿宋" w:hint="eastAsia"/>
                <w:sz w:val="20"/>
                <w:szCs w:val="20"/>
                <w:lang w:eastAsia="zh-CN"/>
              </w:rPr>
              <w:t>引起较大的群体性上访事件，影响社会稳定和秩序的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6" w:lineRule="auto" w:line="180"/>
              <w:ind w:firstLine="388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pacing w:val="-10"/>
                <w:w w:val="99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518" w:hRule="atLeast"/>
        </w:trPr>
        <w:tc>
          <w:tcPr>
            <w:tcW w:w="887" w:type="dxa"/>
            <w:tcBorders/>
          </w:tcPr>
          <w:p>
            <w:pPr>
              <w:pStyle w:val="style0"/>
              <w:spacing w:before="337" w:lineRule="auto" w:line="180"/>
              <w:ind w:firstLine="400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z w:val="20"/>
                <w:szCs w:val="20"/>
              </w:rPr>
              <w:t>3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302" w:lineRule="auto" w:line="188"/>
              <w:ind w:firstLine="120"/>
              <w:rPr>
                <w:rFonts w:ascii="仿宋" w:cs="仿宋" w:eastAsia="仿宋" w:hAnsi="仿宋" w:hint="eastAsia"/>
                <w:sz w:val="20"/>
                <w:szCs w:val="20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2"/>
                <w:sz w:val="20"/>
                <w:szCs w:val="20"/>
                <w:lang w:eastAsia="zh-CN"/>
              </w:rPr>
              <w:t>伪造、变造资格、资质证书或者其他许可证件骗取中标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6" w:lineRule="auto" w:line="180"/>
              <w:ind w:firstLine="388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pacing w:val="-10"/>
                <w:w w:val="99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599" w:hRule="atLeast"/>
        </w:trPr>
        <w:tc>
          <w:tcPr>
            <w:tcW w:w="887" w:type="dxa"/>
            <w:tcBorders/>
          </w:tcPr>
          <w:p>
            <w:pPr>
              <w:pStyle w:val="style0"/>
              <w:spacing w:before="337" w:lineRule="auto" w:line="180"/>
              <w:ind w:firstLine="395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z w:val="20"/>
                <w:szCs w:val="20"/>
              </w:rPr>
              <w:t>4</w:t>
            </w:r>
          </w:p>
        </w:tc>
        <w:tc>
          <w:tcPr>
            <w:tcW w:w="7913" w:type="dxa"/>
            <w:tcBorders/>
            <w:shd w:val="clear" w:color="auto" w:fill="ffffff"/>
          </w:tcPr>
          <w:p>
            <w:pPr>
              <w:pStyle w:val="style0"/>
              <w:spacing w:before="303" w:lineRule="auto" w:line="188"/>
              <w:ind w:firstLine="141"/>
              <w:rPr>
                <w:rFonts w:ascii="仿宋" w:cs="仿宋" w:eastAsia="仿宋" w:hAnsi="仿宋" w:hint="eastAsia"/>
                <w:sz w:val="20"/>
                <w:szCs w:val="20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2"/>
                <w:sz w:val="20"/>
                <w:szCs w:val="20"/>
                <w:lang w:eastAsia="zh-CN"/>
              </w:rPr>
              <w:t>发生交大及以上质量安全事故，造成严重后果的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7" w:lineRule="auto" w:line="180"/>
              <w:ind w:firstLine="388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pacing w:val="-10"/>
                <w:w w:val="99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579" w:hRule="atLeast"/>
        </w:trPr>
        <w:tc>
          <w:tcPr>
            <w:tcW w:w="887" w:type="dxa"/>
            <w:tcBorders/>
          </w:tcPr>
          <w:p>
            <w:pPr>
              <w:pStyle w:val="style0"/>
              <w:spacing w:before="66" w:lineRule="auto" w:line="180"/>
              <w:jc w:val="center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z w:val="20"/>
                <w:szCs w:val="20"/>
              </w:rPr>
              <w:t>5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303" w:lineRule="auto" w:line="188"/>
              <w:ind w:firstLine="140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pacing w:val="-3"/>
                <w:sz w:val="20"/>
                <w:szCs w:val="20"/>
              </w:rPr>
              <w:t>串标、围标，以他人名义投标的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6" w:lineRule="auto" w:line="180"/>
              <w:ind w:firstLine="388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pacing w:val="-10"/>
                <w:w w:val="99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609" w:hRule="atLeast"/>
        </w:trPr>
        <w:tc>
          <w:tcPr>
            <w:tcW w:w="887" w:type="dxa"/>
            <w:tcBorders/>
          </w:tcPr>
          <w:p>
            <w:pPr>
              <w:pStyle w:val="style0"/>
              <w:spacing w:before="337" w:lineRule="auto" w:line="180"/>
              <w:ind w:firstLine="398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z w:val="20"/>
                <w:szCs w:val="20"/>
              </w:rPr>
              <w:t>6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302" w:lineRule="auto" w:line="188"/>
              <w:ind w:firstLine="121"/>
              <w:rPr>
                <w:rFonts w:ascii="仿宋" w:cs="仿宋" w:eastAsia="仿宋" w:hAnsi="仿宋" w:hint="eastAsia"/>
                <w:sz w:val="20"/>
                <w:szCs w:val="20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1"/>
                <w:sz w:val="20"/>
                <w:szCs w:val="20"/>
                <w:lang w:eastAsia="zh-CN"/>
              </w:rPr>
              <w:t>现场管理机构不健全，以包代管的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1" w:lineRule="auto" w:line="180"/>
              <w:ind w:firstLine="421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z w:val="22"/>
                <w:szCs w:val="22"/>
              </w:rPr>
              <w:t>5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579" w:hRule="atLeast"/>
        </w:trPr>
        <w:tc>
          <w:tcPr>
            <w:tcW w:w="887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  <w:p>
            <w:pPr>
              <w:pStyle w:val="style0"/>
              <w:spacing w:before="65" w:lineRule="auto" w:line="180"/>
              <w:ind w:firstLine="401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z w:val="20"/>
                <w:szCs w:val="20"/>
              </w:rPr>
              <w:t>7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302" w:lineRule="auto" w:line="188"/>
              <w:ind w:firstLine="117"/>
              <w:rPr>
                <w:rFonts w:ascii="仿宋" w:cs="仿宋" w:eastAsia="仿宋" w:hAnsi="仿宋" w:hint="default"/>
                <w:sz w:val="20"/>
                <w:szCs w:val="20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pacing w:val="-1"/>
                <w:sz w:val="20"/>
                <w:szCs w:val="20"/>
                <w:lang w:eastAsia="zh-CN"/>
              </w:rPr>
              <w:t>工程关键岗位未按照已中标的投标文件或合同载明的人员到岗的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1" w:lineRule="auto" w:line="180"/>
              <w:ind w:firstLine="421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z w:val="22"/>
                <w:szCs w:val="22"/>
              </w:rPr>
              <w:t>5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629" w:hRule="atLeast"/>
        </w:trPr>
        <w:tc>
          <w:tcPr>
            <w:tcW w:w="887" w:type="dxa"/>
            <w:tcBorders/>
          </w:tcPr>
          <w:p>
            <w:pPr>
              <w:pStyle w:val="style0"/>
              <w:spacing w:before="337" w:lineRule="auto" w:line="180"/>
              <w:ind w:firstLine="397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z w:val="20"/>
                <w:szCs w:val="20"/>
              </w:rPr>
              <w:t>8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302" w:lineRule="auto" w:line="188"/>
              <w:ind w:firstLine="117"/>
              <w:rPr>
                <w:rFonts w:ascii="仿宋" w:cs="仿宋" w:eastAsia="仿宋" w:hAnsi="仿宋" w:hint="eastAsia"/>
                <w:sz w:val="20"/>
                <w:szCs w:val="20"/>
                <w:lang w:eastAsia="zh-CN"/>
              </w:rPr>
            </w:pPr>
            <w:r>
              <w:rPr>
                <w:rFonts w:ascii="仿宋" w:cs="仿宋" w:eastAsia="仿宋" w:hAnsi="仿宋" w:hint="eastAsia"/>
                <w:sz w:val="20"/>
                <w:szCs w:val="20"/>
                <w:lang w:eastAsia="zh-CN"/>
              </w:rPr>
              <w:t>未对农民工实行实名制管理造成劳务纠纷的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1" w:lineRule="auto" w:line="180"/>
              <w:ind w:firstLine="421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z w:val="22"/>
                <w:szCs w:val="22"/>
              </w:rPr>
              <w:t>5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689" w:hRule="atLeast"/>
        </w:trPr>
        <w:tc>
          <w:tcPr>
            <w:tcW w:w="887" w:type="dxa"/>
            <w:tcBorders/>
          </w:tcPr>
          <w:p>
            <w:pPr>
              <w:pStyle w:val="style0"/>
              <w:spacing w:before="337" w:lineRule="auto" w:line="180"/>
              <w:ind w:firstLine="397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z w:val="20"/>
                <w:szCs w:val="20"/>
              </w:rPr>
              <w:t>9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302" w:lineRule="auto" w:line="188"/>
              <w:ind w:firstLine="117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pacing w:val="-1"/>
                <w:sz w:val="20"/>
                <w:szCs w:val="20"/>
              </w:rPr>
              <w:t>违反工程质量、强制性标准、安全生产等法律法规，受到执法部门的处罚的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0" w:lineRule="auto" w:line="180"/>
              <w:ind w:firstLine="378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pacing w:val="-11"/>
                <w:w w:val="99"/>
                <w:sz w:val="22"/>
                <w:szCs w:val="22"/>
              </w:rPr>
              <w:t>10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804" w:hRule="atLeast"/>
        </w:trPr>
        <w:tc>
          <w:tcPr>
            <w:tcW w:w="887" w:type="dxa"/>
            <w:tcBorders/>
          </w:tcPr>
          <w:p>
            <w:pPr>
              <w:pStyle w:val="style0"/>
              <w:spacing w:before="335" w:lineRule="auto" w:line="180"/>
              <w:ind w:firstLine="363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pacing w:val="-10"/>
                <w:w w:val="99"/>
                <w:sz w:val="20"/>
                <w:szCs w:val="20"/>
              </w:rPr>
              <w:t>10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143" w:lineRule="auto" w:line="274"/>
              <w:ind w:left="120" w:right="105" w:hanging="4"/>
              <w:rPr>
                <w:rFonts w:ascii="仿宋" w:cs="仿宋" w:eastAsia="仿宋" w:hAnsi="仿宋"/>
                <w:sz w:val="21"/>
                <w:szCs w:val="21"/>
              </w:rPr>
            </w:pPr>
            <w:r>
              <w:rPr>
                <w:rFonts w:ascii="仿宋" w:cs="仿宋" w:eastAsia="仿宋" w:hAnsi="仿宋"/>
                <w:spacing w:val="-3"/>
                <w:sz w:val="21"/>
                <w:szCs w:val="21"/>
              </w:rPr>
              <w:t>被县级及以上建设行政主管部门、相关行政主管部门、行业管理机构、行业协会处以</w:t>
            </w:r>
            <w:r>
              <w:rPr>
                <w:rFonts w:ascii="仿宋" w:cs="仿宋" w:eastAsia="仿宋" w:hAnsi="仿宋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仿宋" w:cs="仿宋" w:eastAsia="仿宋" w:hAnsi="仿宋"/>
                <w:spacing w:val="-2"/>
                <w:sz w:val="21"/>
                <w:szCs w:val="21"/>
              </w:rPr>
              <w:t>通报、责令整改或其它处罚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3" w:lineRule="auto" w:line="180"/>
              <w:rPr>
                <w:rFonts w:ascii="仿宋" w:cs="仿宋" w:eastAsia="仿宋" w:hAnsi="仿宋" w:hint="default"/>
                <w:sz w:val="22"/>
                <w:szCs w:val="22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2"/>
                <w:szCs w:val="22"/>
                <w:lang w:val="en-US" w:eastAsia="zh-CN"/>
              </w:rPr>
              <w:t xml:space="preserve">   10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619" w:hRule="atLeast"/>
        </w:trPr>
        <w:tc>
          <w:tcPr>
            <w:tcW w:w="887" w:type="dxa"/>
            <w:tcBorders/>
          </w:tcPr>
          <w:p>
            <w:pPr>
              <w:pStyle w:val="style0"/>
              <w:spacing w:before="336" w:lineRule="auto" w:line="180"/>
              <w:ind w:firstLine="363"/>
              <w:rPr>
                <w:rFonts w:ascii="仿宋" w:cs="仿宋" w:eastAsia="仿宋" w:hAnsi="仿宋" w:hint="eastAsia"/>
                <w:sz w:val="20"/>
                <w:szCs w:val="20"/>
                <w:lang w:val="en-US" w:eastAsia="zh-CN"/>
              </w:rPr>
            </w:pPr>
            <w:r>
              <w:rPr>
                <w:rFonts w:ascii="仿宋" w:cs="仿宋" w:eastAsia="仿宋" w:hAnsi="仿宋"/>
                <w:spacing w:val="-10"/>
                <w:w w:val="99"/>
                <w:sz w:val="20"/>
                <w:szCs w:val="20"/>
              </w:rPr>
              <w:t>1</w:t>
            </w:r>
            <w:r>
              <w:rPr>
                <w:rFonts w:ascii="仿宋" w:cs="仿宋" w:eastAsia="仿宋" w:hAnsi="仿宋" w:hint="eastAsia"/>
                <w:spacing w:val="-10"/>
                <w:w w:val="99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302" w:lineRule="auto" w:line="188"/>
              <w:ind w:firstLine="136"/>
              <w:rPr>
                <w:rFonts w:ascii="仿宋" w:cs="仿宋" w:eastAsia="仿宋" w:hAnsi="仿宋" w:hint="eastAsia"/>
                <w:sz w:val="20"/>
                <w:szCs w:val="20"/>
                <w:lang w:eastAsia="zh-CN"/>
              </w:rPr>
            </w:pPr>
            <w:r>
              <w:rPr>
                <w:rFonts w:ascii="仿宋" w:cs="仿宋" w:eastAsia="仿宋" w:hAnsi="仿宋" w:hint="eastAsia"/>
                <w:spacing w:val="-2"/>
                <w:sz w:val="20"/>
                <w:szCs w:val="20"/>
                <w:lang w:eastAsia="zh-CN"/>
              </w:rPr>
              <w:t>拖欠工程款造成农民工工资不能按规定支付，经有关部门核实认定后拒不偿还拖欠的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3" w:lineRule="auto" w:line="180"/>
              <w:ind w:firstLine="421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z w:val="22"/>
                <w:szCs w:val="22"/>
              </w:rPr>
              <w:t>5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803" w:hRule="atLeast"/>
        </w:trPr>
        <w:tc>
          <w:tcPr>
            <w:tcW w:w="887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  <w:p>
            <w:pPr>
              <w:pStyle w:val="style0"/>
              <w:spacing w:before="65" w:lineRule="auto" w:line="180"/>
              <w:ind w:firstLine="363"/>
              <w:rPr>
                <w:rFonts w:ascii="仿宋" w:cs="仿宋" w:eastAsia="仿宋" w:hAnsi="仿宋" w:hint="eastAsia"/>
                <w:sz w:val="20"/>
                <w:szCs w:val="20"/>
                <w:lang w:val="en-US" w:eastAsia="zh-CN"/>
              </w:rPr>
            </w:pPr>
            <w:r>
              <w:rPr>
                <w:rFonts w:ascii="仿宋" w:cs="仿宋" w:eastAsia="仿宋" w:hAnsi="仿宋"/>
                <w:spacing w:val="-10"/>
                <w:w w:val="99"/>
                <w:sz w:val="20"/>
                <w:szCs w:val="20"/>
              </w:rPr>
              <w:t>1</w:t>
            </w:r>
            <w:r>
              <w:rPr>
                <w:rFonts w:ascii="仿宋" w:cs="仿宋" w:eastAsia="仿宋" w:hAnsi="仿宋" w:hint="eastAsia"/>
                <w:spacing w:val="-10"/>
                <w:w w:val="99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149" w:lineRule="auto" w:line="288"/>
              <w:ind w:left="117" w:right="106" w:hanging="1"/>
              <w:rPr>
                <w:rFonts w:ascii="仿宋" w:cs="仿宋" w:eastAsia="仿宋" w:hAnsi="仿宋"/>
                <w:sz w:val="20"/>
                <w:szCs w:val="20"/>
              </w:rPr>
            </w:pPr>
            <w:r>
              <w:rPr>
                <w:rFonts w:ascii="仿宋" w:cs="仿宋" w:eastAsia="仿宋" w:hAnsi="仿宋"/>
                <w:spacing w:val="-6"/>
                <w:sz w:val="20"/>
                <w:szCs w:val="20"/>
              </w:rPr>
              <w:t>企业非法用工被投诉查实；</w:t>
            </w:r>
            <w:r>
              <w:rPr>
                <w:rFonts w:ascii="仿宋" w:cs="仿宋" w:eastAsia="仿宋" w:hAnsi="仿宋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仿宋" w:cs="仿宋" w:eastAsia="仿宋" w:hAnsi="仿宋"/>
                <w:spacing w:val="-6"/>
                <w:sz w:val="20"/>
                <w:szCs w:val="20"/>
              </w:rPr>
              <w:t>企业员工离职后，不给予及时办理劳动合同解除、证书印章变</w:t>
            </w:r>
            <w:r>
              <w:rPr>
                <w:rFonts w:ascii="仿宋" w:cs="仿宋" w:eastAsia="仿宋" w:hAnsi="仿宋"/>
                <w:sz w:val="20"/>
                <w:szCs w:val="20"/>
              </w:rPr>
              <w:t xml:space="preserve"> </w:t>
            </w:r>
            <w:r>
              <w:rPr>
                <w:rFonts w:ascii="仿宋" w:cs="仿宋" w:eastAsia="仿宋" w:hAnsi="仿宋"/>
                <w:spacing w:val="-9"/>
                <w:sz w:val="20"/>
                <w:szCs w:val="20"/>
              </w:rPr>
              <w:t>更、人事档案调离的；</w:t>
            </w:r>
            <w:r>
              <w:rPr>
                <w:rFonts w:ascii="仿宋" w:cs="仿宋" w:eastAsia="仿宋" w:hAnsi="仿宋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仿宋" w:cs="仿宋" w:eastAsia="仿宋" w:hAnsi="仿宋"/>
                <w:spacing w:val="-9"/>
                <w:sz w:val="20"/>
                <w:szCs w:val="20"/>
              </w:rPr>
              <w:t>企业拖欠员工工资和社保；</w:t>
            </w:r>
            <w:r>
              <w:rPr>
                <w:rFonts w:ascii="仿宋" w:cs="仿宋" w:eastAsia="仿宋" w:hAnsi="仿宋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仿宋" w:cs="仿宋" w:eastAsia="仿宋" w:hAnsi="仿宋"/>
                <w:spacing w:val="-9"/>
                <w:sz w:val="20"/>
                <w:szCs w:val="20"/>
              </w:rPr>
              <w:t>企业职业人员存在挂靠行为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3" w:lineRule="auto" w:line="180"/>
              <w:ind w:firstLine="421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z w:val="22"/>
                <w:szCs w:val="22"/>
              </w:rPr>
              <w:t>5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  <w:tr>
        <w:tblPrEx/>
        <w:trPr>
          <w:trHeight w:val="808" w:hRule="atLeast"/>
        </w:trPr>
        <w:tc>
          <w:tcPr>
            <w:tcW w:w="887" w:type="dxa"/>
            <w:tcBorders/>
          </w:tcPr>
          <w:p>
            <w:pPr>
              <w:pStyle w:val="style0"/>
              <w:spacing w:lineRule="auto" w:line="241"/>
              <w:rPr>
                <w:rFonts w:ascii="宋体"/>
                <w:sz w:val="21"/>
              </w:rPr>
            </w:pPr>
          </w:p>
          <w:p>
            <w:pPr>
              <w:pStyle w:val="style0"/>
              <w:spacing w:before="65" w:lineRule="auto" w:line="180"/>
              <w:ind w:firstLine="363"/>
              <w:rPr>
                <w:rFonts w:ascii="仿宋" w:cs="仿宋" w:eastAsia="仿宋" w:hAnsi="仿宋" w:hint="eastAsia"/>
                <w:sz w:val="20"/>
                <w:szCs w:val="20"/>
                <w:lang w:val="en-US" w:eastAsia="zh-CN"/>
              </w:rPr>
            </w:pPr>
            <w:r>
              <w:rPr>
                <w:rFonts w:ascii="仿宋" w:cs="仿宋" w:eastAsia="仿宋" w:hAnsi="仿宋"/>
                <w:spacing w:val="-10"/>
                <w:w w:val="99"/>
                <w:sz w:val="20"/>
                <w:szCs w:val="20"/>
              </w:rPr>
              <w:t>1</w:t>
            </w:r>
            <w:r>
              <w:rPr>
                <w:rFonts w:ascii="仿宋" w:cs="仿宋" w:eastAsia="仿宋" w:hAnsi="仿宋" w:hint="eastAsia"/>
                <w:spacing w:val="-10"/>
                <w:w w:val="99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913" w:type="dxa"/>
            <w:tcBorders/>
          </w:tcPr>
          <w:p>
            <w:pPr>
              <w:pStyle w:val="style0"/>
              <w:spacing w:before="293" w:lineRule="auto" w:line="190"/>
              <w:ind w:firstLine="118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pacing w:val="-1"/>
                <w:sz w:val="22"/>
                <w:szCs w:val="22"/>
              </w:rPr>
              <w:t>企业在“信用中国”等权威信用机构有不良信用记录</w:t>
            </w:r>
          </w:p>
        </w:tc>
        <w:tc>
          <w:tcPr>
            <w:tcW w:w="746" w:type="dxa"/>
            <w:tcBorders/>
          </w:tcPr>
          <w:p>
            <w:pPr>
              <w:pStyle w:val="style0"/>
              <w:spacing w:before="334" w:lineRule="auto" w:line="180"/>
              <w:ind w:firstLine="421"/>
              <w:rPr>
                <w:rFonts w:ascii="仿宋" w:cs="仿宋" w:eastAsia="仿宋" w:hAnsi="仿宋"/>
                <w:sz w:val="22"/>
                <w:szCs w:val="22"/>
              </w:rPr>
            </w:pPr>
            <w:r>
              <w:rPr>
                <w:rFonts w:ascii="仿宋" w:cs="仿宋" w:eastAsia="仿宋" w:hAnsi="仿宋"/>
                <w:sz w:val="22"/>
                <w:szCs w:val="22"/>
              </w:rPr>
              <w:t>5</w:t>
            </w:r>
          </w:p>
        </w:tc>
        <w:tc>
          <w:tcPr>
            <w:tcW w:w="770" w:type="dxa"/>
            <w:tcBorders/>
          </w:tcPr>
          <w:p>
            <w:pPr>
              <w:pStyle w:val="style0"/>
              <w:rPr>
                <w:rFonts w:ascii="宋体"/>
                <w:sz w:val="21"/>
              </w:rPr>
            </w:pPr>
          </w:p>
        </w:tc>
      </w:tr>
    </w:tbl>
    <w:p>
      <w:pPr>
        <w:pStyle w:val="style0"/>
        <w:spacing w:lineRule="exact" w:line="177"/>
        <w:rPr/>
      </w:pPr>
    </w:p>
    <w:p>
      <w:pPr>
        <w:pStyle w:val="style0"/>
        <w:spacing w:before="78" w:lineRule="auto" w:line="189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/>
          <w:spacing w:val="-8"/>
          <w:sz w:val="24"/>
          <w:szCs w:val="24"/>
        </w:rPr>
        <w:t>注：</w:t>
      </w:r>
      <w:r>
        <w:rPr>
          <w:rFonts w:ascii="仿宋" w:cs="仿宋" w:eastAsia="仿宋" w:hAnsi="仿宋"/>
          <w:spacing w:val="89"/>
          <w:sz w:val="24"/>
          <w:szCs w:val="24"/>
        </w:rPr>
        <w:t xml:space="preserve"> </w:t>
      </w:r>
      <w:r>
        <w:rPr>
          <w:rFonts w:ascii="仿宋" w:cs="仿宋" w:eastAsia="仿宋" w:hAnsi="仿宋"/>
          <w:spacing w:val="-8"/>
          <w:sz w:val="24"/>
          <w:szCs w:val="24"/>
        </w:rPr>
        <w:t>1、同一事项被不同部门处罚或通报，按最高扣分计扣一次。</w:t>
      </w:r>
    </w:p>
    <w:p>
      <w:pPr>
        <w:pStyle w:val="style0"/>
        <w:ind w:firstLine="714" w:firstLineChars="300"/>
        <w:rPr>
          <w:rFonts w:eastAsia="仿宋" w:hint="eastAsia"/>
          <w:lang w:eastAsia="zh-CN"/>
        </w:rPr>
        <w:sectPr>
          <w:footerReference w:type="default" r:id="rId2"/>
          <w:pgSz w:w="11906" w:h="16839" w:orient="portrait"/>
          <w:pgMar w:top="1431" w:right="1376" w:bottom="1157" w:left="1376" w:header="0" w:footer="1039" w:gutter="0"/>
          <w:cols w:space="720" w:num="1"/>
        </w:sectPr>
      </w:pPr>
      <w:r>
        <w:rPr>
          <w:rFonts w:ascii="仿宋" w:cs="仿宋" w:eastAsia="仿宋" w:hAnsi="仿宋"/>
          <w:spacing w:val="-1"/>
          <w:sz w:val="24"/>
          <w:szCs w:val="24"/>
        </w:rPr>
        <w:t>2、本表“不良行为”内容和扣分，适用企业（法人</w:t>
      </w:r>
      <w:r>
        <w:rPr>
          <w:rFonts w:ascii="仿宋" w:cs="仿宋" w:eastAsia="仿宋" w:hAnsi="仿宋"/>
          <w:spacing w:val="-56"/>
          <w:sz w:val="24"/>
          <w:szCs w:val="24"/>
        </w:rPr>
        <w:t>）</w:t>
      </w:r>
      <w:r>
        <w:rPr>
          <w:rFonts w:ascii="仿宋" w:cs="仿宋" w:eastAsia="仿宋" w:hAnsi="仿宋"/>
          <w:spacing w:val="14"/>
          <w:sz w:val="24"/>
          <w:szCs w:val="24"/>
        </w:rPr>
        <w:t xml:space="preserve"> </w:t>
      </w:r>
      <w:r>
        <w:rPr>
          <w:rFonts w:ascii="仿宋" w:cs="仿宋" w:eastAsia="仿宋" w:hAnsi="仿宋"/>
          <w:spacing w:val="-56"/>
          <w:sz w:val="24"/>
          <w:szCs w:val="24"/>
        </w:rPr>
        <w:t>，</w:t>
      </w:r>
      <w:r>
        <w:rPr>
          <w:rFonts w:ascii="仿宋" w:cs="仿宋" w:eastAsia="仿宋" w:hAnsi="仿宋"/>
          <w:spacing w:val="-1"/>
          <w:sz w:val="24"/>
          <w:szCs w:val="24"/>
        </w:rPr>
        <w:t>也适用企业</w:t>
      </w:r>
      <w:bookmarkStart w:id="1" w:name="_bookmark5"/>
      <w:bookmarkStart w:id="2" w:name="_bookmark11"/>
      <w:bookmarkEnd w:id="1"/>
      <w:bookmarkEnd w:id="2"/>
      <w:r>
        <w:rPr>
          <w:rFonts w:ascii="仿宋" w:cs="仿宋" w:eastAsia="仿宋" w:hAnsi="仿宋" w:hint="eastAsia"/>
          <w:spacing w:val="-1"/>
          <w:sz w:val="24"/>
          <w:szCs w:val="24"/>
          <w:lang w:eastAsia="zh-CN"/>
        </w:rPr>
        <w:t>分支机构。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right="0" w:firstLine="0"/>
        <w:textAlignment w:val="auto"/>
        <w:rPr>
          <w:rFonts w:ascii="仿宋" w:cs="仿宋" w:eastAsia="仿宋" w:hAnsi="仿宋" w:hint="eastAsia"/>
          <w:sz w:val="28"/>
          <w:szCs w:val="28"/>
          <w:lang w:eastAsia="zh-CN"/>
        </w:rPr>
      </w:pPr>
    </w:p>
    <w:sectPr>
      <w:footerReference w:type="default" r:id="rId3"/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宋体"/>
    <w:panose1 w:val="02010600030001010101"/>
    <w:charset w:val="8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Verdana">
    <w:altName w:val="Verdana"/>
    <w:panose1 w:val="020b0604030005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17"/>
      <w:ind w:firstLine="4494"/>
      <w:rPr>
        <w:rFonts w:ascii="Calibri" w:cs="Calibri" w:eastAsia="Calibri" w:hAnsi="Calibri"/>
        <w:sz w:val="18"/>
        <w:szCs w:val="18"/>
      </w:rPr>
    </w:pPr>
    <w:r>
      <w:rPr>
        <w:rFonts w:ascii="Calibri" w:cs="Calibri" w:eastAsia="Calibri" w:hAnsi="Calibri"/>
        <w:spacing w:val="-6"/>
        <w:position w:val="-2"/>
        <w:sz w:val="18"/>
        <w:szCs w:val="18"/>
      </w:rPr>
      <w:t>27</w:t>
    </w:r>
  </w:p>
</w:ftr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lineRule="exact" w:line="125"/>
      <w:ind w:firstLine="4081"/>
      <w:rPr>
        <w:rFonts w:ascii="Times New Roman" w:cs="Times New Roman" w:eastAsia="Times New Roman" w:hAnsi="Times New Roman"/>
        <w:sz w:val="18"/>
        <w:szCs w:val="18"/>
      </w:rPr>
    </w:pPr>
    <w:r>
      <w:rPr>
        <w:rFonts w:ascii="Times New Roman" w:cs="Times New Roman" w:eastAsia="Times New Roman" w:hAnsi="Times New Roman"/>
        <w:spacing w:val="-2"/>
        <w:position w:val="-2"/>
        <w:sz w:val="18"/>
        <w:szCs w:val="18"/>
      </w:rPr>
      <w:t>29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uiPriority w:val="1"/>
    <w:pPr>
      <w:spacing w:lineRule="exact" w:line="949"/>
      <w:ind w:left="108" w:right="592"/>
      <w:jc w:val="center"/>
      <w:outlineLvl w:val="0"/>
    </w:pPr>
    <w:rPr>
      <w:rFonts w:ascii="宋体" w:cs="宋体" w:eastAsia="宋体" w:hAnsi="宋体"/>
      <w:b/>
      <w:bCs/>
      <w:sz w:val="76"/>
      <w:szCs w:val="76"/>
    </w:rPr>
  </w:style>
  <w:style w:type="paragraph" w:styleId="style2">
    <w:name w:val="heading 2"/>
    <w:basedOn w:val="style0"/>
    <w:next w:val="style0"/>
    <w:qFormat/>
    <w:uiPriority w:val="1"/>
    <w:pPr>
      <w:spacing w:before="25"/>
      <w:ind w:left="115"/>
      <w:outlineLvl w:val="1"/>
    </w:pPr>
    <w:rPr>
      <w:sz w:val="32"/>
      <w:szCs w:val="32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/>
    <w:rPr>
      <w:sz w:val="24"/>
      <w:szCs w:val="24"/>
    </w:r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customStyle="1" w:styleId="style4097">
    <w:name w:val="Default"/>
    <w:next w:val="style4097"/>
    <w:qFormat/>
    <w:uiPriority w:val="0"/>
    <w:pPr>
      <w:widowControl w:val="false"/>
      <w:autoSpaceDE w:val="false"/>
      <w:autoSpaceDN w:val="false"/>
      <w:adjustRightInd w:val="false"/>
    </w:pPr>
    <w:rPr>
      <w:rFonts w:ascii="宋体" w:cs="Times New Roman" w:eastAsia="宋体" w:hAnsi="Calibri"/>
      <w:color w:val="000000"/>
      <w:sz w:val="24"/>
      <w:szCs w:val="24"/>
      <w:lang w:val="en-US" w:bidi="ar-SA" w:eastAsia="zh-CN"/>
    </w:rPr>
  </w:style>
  <w:style w:type="table" w:customStyle="1" w:styleId="style4098">
    <w:name w:val="Table Normal"/>
    <w:next w:val="style4098"/>
    <w:qFormat/>
    <w:uiPriority w:val="0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Words>506</Words>
  <Pages>1</Pages>
  <Characters>519</Characters>
  <Application>WPS Office</Application>
  <DocSecurity>0</DocSecurity>
  <Paragraphs>83</Paragraphs>
  <ScaleCrop>false</ScaleCrop>
  <LinksUpToDate>false</LinksUpToDate>
  <CharactersWithSpaces>550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2021-09-17T01:59:00Z</dcterms:created>
  <dc:creator>雪·妖</dc:creator>
  <lastModifiedBy>M2105K81AC</lastModifiedBy>
  <lastPrinted>2021-09-18T03:54:00Z</lastPrinted>
  <dcterms:modified xsi:type="dcterms:W3CDTF">2021-11-03T09:50:23Z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C243EFB522274AA0A34447319DA52DCB</vt:lpwstr>
  </property>
</Properties>
</file>